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B3" w:rsidRPr="00E444B3" w:rsidRDefault="00E444B3">
      <w:pPr>
        <w:rPr>
          <w:lang w:val="en-US"/>
        </w:rPr>
      </w:pPr>
    </w:p>
    <w:p w:rsidR="00E444B3" w:rsidRPr="00E444B3" w:rsidRDefault="00E444B3" w:rsidP="00E444B3">
      <w:pPr>
        <w:pStyle w:val="Default"/>
        <w:ind w:right="-3"/>
        <w:jc w:val="center"/>
        <w:rPr>
          <w:rFonts w:ascii="Arial" w:hAnsi="Arial" w:cs="Arial"/>
        </w:rPr>
      </w:pPr>
      <w:r w:rsidRPr="00E444B3">
        <w:rPr>
          <w:rFonts w:ascii="Arial" w:hAnsi="Arial" w:cs="Arial"/>
        </w:rPr>
        <w:t>DICHIARAZIONE SOSTITUTIVA DI CERTIFICAZIONE</w:t>
      </w:r>
    </w:p>
    <w:p w:rsidR="00E444B3" w:rsidRPr="00E444B3" w:rsidRDefault="00E444B3" w:rsidP="00E444B3">
      <w:pPr>
        <w:pStyle w:val="Default"/>
        <w:ind w:right="-3"/>
        <w:jc w:val="center"/>
        <w:rPr>
          <w:rFonts w:ascii="Arial" w:hAnsi="Arial" w:cs="Arial"/>
        </w:rPr>
      </w:pPr>
      <w:r w:rsidRPr="00E444B3">
        <w:rPr>
          <w:rFonts w:ascii="Arial" w:hAnsi="Arial" w:cs="Arial"/>
        </w:rPr>
        <w:t>(art. 46 DPR 445 del 2.12.2000)</w:t>
      </w:r>
    </w:p>
    <w:p w:rsidR="00E444B3" w:rsidRPr="00566573" w:rsidRDefault="00E444B3" w:rsidP="00E444B3">
      <w:pPr>
        <w:pStyle w:val="Default"/>
        <w:ind w:right="-3"/>
        <w:jc w:val="both"/>
        <w:rPr>
          <w:rFonts w:ascii="Arial" w:hAnsi="Arial" w:cs="Arial"/>
          <w:sz w:val="18"/>
          <w:szCs w:val="18"/>
        </w:rPr>
      </w:pPr>
    </w:p>
    <w:p w:rsidR="00E444B3" w:rsidRPr="00566573" w:rsidRDefault="00E444B3" w:rsidP="00E444B3">
      <w:pPr>
        <w:pStyle w:val="Default"/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Il/la sottoscritto/a _________________________________________________________</w:t>
      </w:r>
      <w:r w:rsidR="00566573">
        <w:rPr>
          <w:rFonts w:ascii="Arial" w:hAnsi="Arial" w:cs="Arial"/>
          <w:sz w:val="18"/>
          <w:szCs w:val="18"/>
        </w:rPr>
        <w:t>_____________</w:t>
      </w:r>
      <w:r w:rsidRPr="00566573">
        <w:rPr>
          <w:rFonts w:ascii="Arial" w:hAnsi="Arial" w:cs="Arial"/>
          <w:sz w:val="18"/>
          <w:szCs w:val="18"/>
        </w:rPr>
        <w:t>_</w:t>
      </w:r>
    </w:p>
    <w:p w:rsidR="00E444B3" w:rsidRPr="00566573" w:rsidRDefault="00E444B3" w:rsidP="00E444B3">
      <w:pPr>
        <w:pStyle w:val="Default"/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566573">
        <w:rPr>
          <w:rFonts w:ascii="Arial" w:hAnsi="Arial" w:cs="Arial"/>
          <w:sz w:val="18"/>
          <w:szCs w:val="18"/>
        </w:rPr>
        <w:t>a</w:t>
      </w:r>
      <w:proofErr w:type="spellEnd"/>
      <w:r w:rsidRPr="00566573">
        <w:rPr>
          <w:rFonts w:ascii="Arial" w:hAnsi="Arial" w:cs="Arial"/>
          <w:sz w:val="18"/>
          <w:szCs w:val="18"/>
        </w:rPr>
        <w:t xml:space="preserve"> ___________________________________ il _______________________</w:t>
      </w:r>
      <w:r w:rsidR="00566573">
        <w:rPr>
          <w:rFonts w:ascii="Arial" w:hAnsi="Arial" w:cs="Arial"/>
          <w:sz w:val="18"/>
          <w:szCs w:val="18"/>
        </w:rPr>
        <w:t>_____________</w:t>
      </w:r>
      <w:r w:rsidRPr="00566573">
        <w:rPr>
          <w:rFonts w:ascii="Arial" w:hAnsi="Arial" w:cs="Arial"/>
          <w:sz w:val="18"/>
          <w:szCs w:val="18"/>
        </w:rPr>
        <w:t>_____</w:t>
      </w:r>
    </w:p>
    <w:p w:rsidR="00E444B3" w:rsidRPr="00566573" w:rsidRDefault="00E444B3" w:rsidP="00E444B3">
      <w:pPr>
        <w:pStyle w:val="Default"/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residente a ___________________________ via _________</w:t>
      </w:r>
      <w:r w:rsidR="00566573">
        <w:rPr>
          <w:rFonts w:ascii="Arial" w:hAnsi="Arial" w:cs="Arial"/>
          <w:sz w:val="18"/>
          <w:szCs w:val="18"/>
        </w:rPr>
        <w:t>___________</w:t>
      </w:r>
      <w:r w:rsidRPr="00566573">
        <w:rPr>
          <w:rFonts w:ascii="Arial" w:hAnsi="Arial" w:cs="Arial"/>
          <w:sz w:val="18"/>
          <w:szCs w:val="18"/>
        </w:rPr>
        <w:t xml:space="preserve">___________________ n </w:t>
      </w:r>
      <w:r w:rsidR="00566573">
        <w:rPr>
          <w:rFonts w:ascii="Arial" w:hAnsi="Arial" w:cs="Arial"/>
          <w:sz w:val="18"/>
          <w:szCs w:val="18"/>
        </w:rPr>
        <w:t>_</w:t>
      </w:r>
      <w:r w:rsidRPr="00566573">
        <w:rPr>
          <w:rFonts w:ascii="Arial" w:hAnsi="Arial" w:cs="Arial"/>
          <w:sz w:val="18"/>
          <w:szCs w:val="18"/>
        </w:rPr>
        <w:t>___</w:t>
      </w:r>
    </w:p>
    <w:p w:rsidR="00E444B3" w:rsidRPr="00566573" w:rsidRDefault="00E444B3" w:rsidP="00815260">
      <w:pPr>
        <w:pStyle w:val="Default"/>
        <w:ind w:right="-6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:rsidR="00815260" w:rsidRPr="00566573" w:rsidRDefault="00815260" w:rsidP="00815260">
      <w:pPr>
        <w:pStyle w:val="Default"/>
        <w:ind w:right="-6"/>
        <w:jc w:val="both"/>
        <w:rPr>
          <w:rFonts w:ascii="Arial" w:hAnsi="Arial" w:cs="Arial"/>
          <w:sz w:val="18"/>
          <w:szCs w:val="18"/>
        </w:rPr>
      </w:pPr>
    </w:p>
    <w:p w:rsidR="00E444B3" w:rsidRPr="00566573" w:rsidRDefault="00E444B3" w:rsidP="00815260">
      <w:pPr>
        <w:pStyle w:val="Default"/>
        <w:ind w:right="-6"/>
        <w:jc w:val="center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DICHIARA</w:t>
      </w:r>
    </w:p>
    <w:p w:rsidR="00815260" w:rsidRPr="00566573" w:rsidRDefault="00815260" w:rsidP="00815260">
      <w:pPr>
        <w:pStyle w:val="Default"/>
        <w:ind w:right="-6"/>
        <w:jc w:val="center"/>
        <w:rPr>
          <w:rFonts w:ascii="Arial" w:hAnsi="Arial" w:cs="Arial"/>
          <w:sz w:val="18"/>
          <w:szCs w:val="18"/>
        </w:rPr>
      </w:pPr>
    </w:p>
    <w:p w:rsidR="00E444B3" w:rsidRPr="00566573" w:rsidRDefault="00E444B3" w:rsidP="00504E9D">
      <w:pPr>
        <w:pStyle w:val="Default"/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essere nato/a __________________________________</w:t>
      </w:r>
      <w:r w:rsidR="00EC7795" w:rsidRPr="00566573">
        <w:rPr>
          <w:rFonts w:ascii="Arial" w:hAnsi="Arial" w:cs="Arial"/>
          <w:sz w:val="18"/>
          <w:szCs w:val="18"/>
        </w:rPr>
        <w:t xml:space="preserve"> </w:t>
      </w:r>
      <w:r w:rsidRPr="00566573">
        <w:rPr>
          <w:rFonts w:ascii="Arial" w:hAnsi="Arial" w:cs="Arial"/>
          <w:sz w:val="18"/>
          <w:szCs w:val="18"/>
        </w:rPr>
        <w:t>il</w:t>
      </w:r>
      <w:r w:rsidR="00EC7795" w:rsidRPr="00566573">
        <w:rPr>
          <w:rFonts w:ascii="Arial" w:hAnsi="Arial" w:cs="Arial"/>
          <w:sz w:val="18"/>
          <w:szCs w:val="18"/>
        </w:rPr>
        <w:t xml:space="preserve"> </w:t>
      </w:r>
      <w:r w:rsidRPr="00566573">
        <w:rPr>
          <w:rFonts w:ascii="Arial" w:hAnsi="Arial" w:cs="Arial"/>
          <w:sz w:val="18"/>
          <w:szCs w:val="18"/>
        </w:rPr>
        <w:t>_____________________</w:t>
      </w:r>
    </w:p>
    <w:p w:rsidR="00E444B3" w:rsidRPr="00566573" w:rsidRDefault="00E444B3" w:rsidP="00504E9D">
      <w:pPr>
        <w:pStyle w:val="Default"/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essere residente in ______________________ via ________________________ n__</w:t>
      </w:r>
    </w:p>
    <w:p w:rsidR="00E444B3" w:rsidRPr="00566573" w:rsidRDefault="00E444B3" w:rsidP="00504E9D">
      <w:pPr>
        <w:pStyle w:val="Default"/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essere cittadino/a italiano/a secondo le risultanze del Comune di _________________</w:t>
      </w:r>
    </w:p>
    <w:p w:rsidR="00E444B3" w:rsidRPr="00566573" w:rsidRDefault="00E444B3" w:rsidP="00504E9D">
      <w:pPr>
        <w:pStyle w:val="Default"/>
        <w:spacing w:line="360" w:lineRule="auto"/>
        <w:ind w:left="284" w:right="-3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i/>
          <w:iCs/>
          <w:sz w:val="18"/>
          <w:szCs w:val="18"/>
        </w:rPr>
        <w:t>(per i residenti all’estero: se nati in Italia, indicare il Comune di nascita; se nati all’estero, precisare a quale titolo siano cittadini italiani)</w:t>
      </w:r>
    </w:p>
    <w:p w:rsidR="00E444B3" w:rsidRPr="00566573" w:rsidRDefault="00E444B3" w:rsidP="00504E9D">
      <w:pPr>
        <w:pStyle w:val="Default"/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godere dei diritti politici</w:t>
      </w:r>
    </w:p>
    <w:p w:rsidR="00E444B3" w:rsidRPr="00566573" w:rsidRDefault="00E444B3" w:rsidP="00504E9D">
      <w:pPr>
        <w:pStyle w:val="Default"/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essere in possesso del seguente titolo di studio _______________________________</w:t>
      </w:r>
    </w:p>
    <w:p w:rsidR="00E444B3" w:rsidRPr="00566573" w:rsidRDefault="00E444B3" w:rsidP="00E444B3">
      <w:pPr>
        <w:pStyle w:val="Default"/>
        <w:spacing w:line="360" w:lineRule="auto"/>
        <w:ind w:right="-3" w:firstLine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rilasciato da ____________________________________________________________</w:t>
      </w:r>
    </w:p>
    <w:p w:rsidR="00E444B3" w:rsidRPr="00566573" w:rsidRDefault="00E444B3" w:rsidP="00504E9D">
      <w:pPr>
        <w:pStyle w:val="Default"/>
        <w:numPr>
          <w:ilvl w:val="0"/>
          <w:numId w:val="1"/>
        </w:numPr>
        <w:spacing w:line="360" w:lineRule="auto"/>
        <w:ind w:left="284" w:right="-3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di essere in possesso del seguente codice fiscale _____________________</w:t>
      </w:r>
    </w:p>
    <w:p w:rsidR="00E444B3" w:rsidRPr="00566573" w:rsidRDefault="00E444B3" w:rsidP="00504E9D">
      <w:pPr>
        <w:pStyle w:val="Default"/>
        <w:ind w:left="284" w:right="-6" w:hanging="284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</w:t>
      </w:r>
      <w:r w:rsidR="00504E9D" w:rsidRPr="00566573">
        <w:rPr>
          <w:rFonts w:ascii="Arial" w:hAnsi="Arial" w:cs="Arial"/>
          <w:sz w:val="18"/>
          <w:szCs w:val="18"/>
        </w:rPr>
        <w:tab/>
      </w:r>
      <w:r w:rsidRPr="00566573">
        <w:rPr>
          <w:rFonts w:ascii="Arial" w:hAnsi="Arial" w:cs="Arial"/>
          <w:sz w:val="18"/>
          <w:szCs w:val="18"/>
        </w:rPr>
        <w:t>di non aver riportato condanne penale e di non essere destinatario di provvedimenti che riguardano l’applicazione di misure di sicurezza e di misure di prevenzione, di decisioni civili e di provvedimento amministrativi iscritti nel casellario giudiziario ai sensi della vigente normativa, si esplicita che all’art. 28, com</w:t>
      </w:r>
      <w:r w:rsidR="009E6DCA" w:rsidRPr="00566573">
        <w:rPr>
          <w:rFonts w:ascii="Arial" w:hAnsi="Arial" w:cs="Arial"/>
          <w:sz w:val="18"/>
          <w:szCs w:val="18"/>
        </w:rPr>
        <w:t>ma 8 del DPR di cui in premessa:</w:t>
      </w:r>
    </w:p>
    <w:p w:rsidR="00E444B3" w:rsidRPr="00566573" w:rsidRDefault="00E444B3" w:rsidP="00E444B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b/>
          <w:sz w:val="18"/>
          <w:szCs w:val="18"/>
          <w:lang w:eastAsia="en-US"/>
        </w:rPr>
        <w:t>“</w:t>
      </w:r>
      <w:r w:rsidRPr="00566573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 xml:space="preserve">L’interessato che, a norma degli articoli 46 e 47 del D.P.R. 28 dicembre 2000, n. 445, rende dichiarazioni sostitutive relative all’esistenza nel casellario giudiziale di iscrizioni a suo carico, </w:t>
      </w:r>
      <w:r w:rsidRPr="00566573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non è tenuto a indicare la presenza di quelle di cui al comma 7, nonché di cui all’articolo 24, comma 1</w:t>
      </w:r>
      <w:r w:rsidRPr="00566573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”.</w:t>
      </w:r>
    </w:p>
    <w:p w:rsidR="00E444B3" w:rsidRPr="00566573" w:rsidRDefault="00E444B3" w:rsidP="00E444B3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Le iscrizioni di cui al comma 7 sono le seguenti: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a)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condanne per contravvenzioni punibili con la sola ammenda e condanne per reati</w:t>
      </w:r>
      <w:r w:rsidR="001E3A9B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estinti a norma dell’art.167, comma 1 </w:t>
      </w:r>
      <w:proofErr w:type="spellStart"/>
      <w:r w:rsidRPr="00566573">
        <w:rPr>
          <w:rFonts w:ascii="Arial" w:eastAsiaTheme="minorHAnsi" w:hAnsi="Arial" w:cs="Arial"/>
          <w:sz w:val="18"/>
          <w:szCs w:val="18"/>
          <w:lang w:eastAsia="en-US"/>
        </w:rPr>
        <w:t>c.p</w:t>
      </w:r>
      <w:proofErr w:type="spellEnd"/>
      <w:r w:rsidRPr="00566573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b)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che ai sensi dell'articolo 464-quater del c.p.p., dispongono la</w:t>
      </w:r>
      <w:r w:rsidR="001E3A9B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sospensione del procedimento con messa alla prova, nonché sentenze che ai sensi</w:t>
      </w:r>
      <w:r w:rsidR="001E3A9B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dell'articolo 464-septies del c.p.p. dichiarano estinto il reato per esito positivo</w:t>
      </w:r>
      <w:r w:rsidR="001E3A9B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della messa alla prova;</w:t>
      </w:r>
    </w:p>
    <w:p w:rsidR="00E444B3" w:rsidRPr="00566573" w:rsidRDefault="00E444B3" w:rsidP="009E6DCA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c)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giudiziari che hanno dichiarato la non punibilità ai sensi dell'articolo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131-bis del codice penale.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b/>
          <w:sz w:val="18"/>
          <w:szCs w:val="18"/>
          <w:lang w:eastAsia="en-US"/>
        </w:rPr>
        <w:t>Le iscrizioni di cui all’articolo 24, comma 1 sono invece: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a)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condanne delle quali è stato ordinato che non si faccia menzione nel certificato a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norma dell'articolo 175 del c.p., purché il beneficio non sia stato revocato;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b)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condanne per contravvenzioni punibili con la sola ammenda e condanne per reati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estinti a norma dell'articolo 167, primo comma, del c.p.;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c)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condanne per i reati per i quali si è verificata la causa speciale di estinzione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prevista dall'articolo 556 del c.p.;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d)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condanne in relazione alle quali è stata definitivamente applicata l'amnistia </w:t>
      </w:r>
      <w:proofErr w:type="gramStart"/>
      <w:r w:rsidRPr="00566573">
        <w:rPr>
          <w:rFonts w:ascii="Arial" w:eastAsiaTheme="minorHAnsi" w:hAnsi="Arial" w:cs="Arial"/>
          <w:sz w:val="18"/>
          <w:szCs w:val="18"/>
          <w:lang w:eastAsia="en-US"/>
        </w:rPr>
        <w:t>e</w:t>
      </w:r>
      <w:proofErr w:type="gramEnd"/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a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quelle per le quali è stata dichiarata la riabilitazione, senza che questa sia stata in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seguito revocata;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e)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previsti dall'articolo 445 del c.p.p., quando la pena irrogata non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superi i due anni di pena detentiva soli o congiunti a pena pecuniaria, e ai decreti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penali;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f)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condanne per fatti che la legge ha cessato di considerare come reati, quando la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relativa iscrizione non è stata eliminata;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f-bis) provvedimenti giudiziari che hanno dichiarato la non punibilità ai sensi</w:t>
      </w:r>
      <w:r w:rsidR="009E6DCA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dell'articolo 131-bis del c.p., quando la relativa iscrizione non è stata eliminata;</w:t>
      </w:r>
    </w:p>
    <w:p w:rsidR="00E444B3" w:rsidRPr="00566573" w:rsidRDefault="003C76D6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g)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E444B3" w:rsidRPr="00566573">
        <w:rPr>
          <w:rFonts w:ascii="Arial" w:eastAsiaTheme="minorHAnsi" w:hAnsi="Arial" w:cs="Arial"/>
          <w:sz w:val="18"/>
          <w:szCs w:val="18"/>
          <w:lang w:eastAsia="en-US"/>
        </w:rPr>
        <w:t>ai provvedimenti riguardanti misure di sicurezza conseguenti a sentenze di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E444B3" w:rsidRPr="00566573">
        <w:rPr>
          <w:rFonts w:ascii="Arial" w:eastAsiaTheme="minorHAnsi" w:hAnsi="Arial" w:cs="Arial"/>
          <w:sz w:val="18"/>
          <w:szCs w:val="18"/>
          <w:lang w:eastAsia="en-US"/>
        </w:rPr>
        <w:t>proscioglimento o di non luogo a procedere, quando le misure sono state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E444B3" w:rsidRPr="00566573">
        <w:rPr>
          <w:rFonts w:ascii="Arial" w:eastAsiaTheme="minorHAnsi" w:hAnsi="Arial" w:cs="Arial"/>
          <w:sz w:val="18"/>
          <w:szCs w:val="18"/>
          <w:lang w:eastAsia="en-US"/>
        </w:rPr>
        <w:t>revocate;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h)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che riguardano l'applicazione delle misure di prevenzione della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sorveglianza speciale semplice o con divieto o obbligo di soggiorno;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i)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giudiziari emessi dal giudice di pace;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l)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giudiziari relativi ai reati di competenza del giudice di pace emessi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da un giudice diverso, limitatamente alle iscrizioni concernenti questi reati;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lastRenderedPageBreak/>
        <w:t>m)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provvedimenti di interdizione, di inabilitazione e relativi all'amministrazione di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sostegno, quando esse sono state revocate;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m-bis) provvedimenti che ai sensi dell'articolo 464-quater del c.p.p. dispongono la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sospensione del procedimento con messa alla prova;</w:t>
      </w:r>
    </w:p>
    <w:p w:rsidR="00E444B3" w:rsidRPr="00566573" w:rsidRDefault="00E444B3" w:rsidP="003C76D6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m-ter) sentenze che ai sensi dell'articolo 464-septies del c.p.p. dichiarano estinto il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reato per esito positivo della messa alla prova.</w:t>
      </w:r>
    </w:p>
    <w:p w:rsidR="00E444B3" w:rsidRPr="00566573" w:rsidRDefault="00E444B3" w:rsidP="003C76D6">
      <w:pPr>
        <w:autoSpaceDE w:val="0"/>
        <w:autoSpaceDN w:val="0"/>
        <w:adjustRightInd w:val="0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b/>
          <w:sz w:val="18"/>
          <w:szCs w:val="18"/>
          <w:lang w:eastAsia="en-US"/>
        </w:rPr>
        <w:t>La Corte Costituzionale, dichiarando la parziale illegittimità del comma 1 dell’art.</w:t>
      </w:r>
      <w:r w:rsidR="003C76D6" w:rsidRPr="00566573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b/>
          <w:sz w:val="18"/>
          <w:szCs w:val="18"/>
          <w:lang w:eastAsia="en-US"/>
        </w:rPr>
        <w:t>24, ha aggiunto altresì all’elenco:</w:t>
      </w:r>
    </w:p>
    <w:p w:rsidR="00E444B3" w:rsidRPr="00566573" w:rsidRDefault="00E444B3" w:rsidP="001E3A9B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>a)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le sentenze di condanna per uno dei reati di cui all’art. 186 del decreto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legislativo n. 285 del 1992 (Nuovo codice della strada) che sia stato dichiarato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estinto in seguito al positivo svolgimento del lavoro di pubblica utilità, nonché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dell’ordinanza che dichiara l’estinzione del reato medesimo ai sensi dell’art.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186, comma 9-bis, cod. strada) (Cassazione n. 179 del 2020);</w:t>
      </w:r>
    </w:p>
    <w:p w:rsidR="00E444B3" w:rsidRPr="00566573" w:rsidRDefault="00E444B3" w:rsidP="003C76D6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b) </w:t>
      </w:r>
      <w:r w:rsidR="00504E9D" w:rsidRPr="00566573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>l’ordinanza di sospensione del processo con messa alla prova dell’imputato ai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sensi dell’art. 464-quater, </w:t>
      </w:r>
      <w:proofErr w:type="spellStart"/>
      <w:r w:rsidRPr="00566573">
        <w:rPr>
          <w:rFonts w:ascii="Arial" w:eastAsiaTheme="minorHAnsi" w:hAnsi="Arial" w:cs="Arial"/>
          <w:sz w:val="18"/>
          <w:szCs w:val="18"/>
          <w:lang w:eastAsia="en-US"/>
        </w:rPr>
        <w:t>c.p.c.</w:t>
      </w:r>
      <w:proofErr w:type="spellEnd"/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e della sentenza che dichiara l’estinzione del</w:t>
      </w:r>
      <w:r w:rsidR="003C76D6"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566573">
        <w:rPr>
          <w:rFonts w:ascii="Arial" w:eastAsiaTheme="minorHAnsi" w:hAnsi="Arial" w:cs="Arial"/>
          <w:sz w:val="18"/>
          <w:szCs w:val="18"/>
          <w:lang w:eastAsia="en-US"/>
        </w:rPr>
        <w:t xml:space="preserve">reato ai sensi dell’art. 464-septies, </w:t>
      </w:r>
      <w:proofErr w:type="spellStart"/>
      <w:r w:rsidRPr="00566573">
        <w:rPr>
          <w:rFonts w:ascii="Arial" w:eastAsiaTheme="minorHAnsi" w:hAnsi="Arial" w:cs="Arial"/>
          <w:sz w:val="18"/>
          <w:szCs w:val="18"/>
          <w:lang w:eastAsia="en-US"/>
        </w:rPr>
        <w:t>c.p.c.</w:t>
      </w:r>
      <w:proofErr w:type="spellEnd"/>
      <w:r w:rsidRPr="00566573">
        <w:rPr>
          <w:rFonts w:ascii="Arial" w:eastAsiaTheme="minorHAnsi" w:hAnsi="Arial" w:cs="Arial"/>
          <w:sz w:val="18"/>
          <w:szCs w:val="18"/>
          <w:lang w:eastAsia="en-US"/>
        </w:rPr>
        <w:t>») (Cassazione n. 231 del 2018).</w:t>
      </w:r>
    </w:p>
    <w:p w:rsidR="00EC7795" w:rsidRPr="00566573" w:rsidRDefault="00EC7795" w:rsidP="003C76D6">
      <w:p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</w:p>
    <w:p w:rsidR="00E444B3" w:rsidRPr="00566573" w:rsidRDefault="00E444B3" w:rsidP="00E444B3">
      <w:pPr>
        <w:pStyle w:val="Default"/>
        <w:spacing w:line="360" w:lineRule="auto"/>
        <w:ind w:right="-6"/>
        <w:jc w:val="both"/>
        <w:rPr>
          <w:rFonts w:ascii="Arial" w:hAnsi="Arial" w:cs="Arial"/>
          <w:sz w:val="18"/>
          <w:szCs w:val="18"/>
        </w:rPr>
      </w:pPr>
      <w:r w:rsidRPr="00566573">
        <w:rPr>
          <w:rFonts w:ascii="Arial" w:hAnsi="Arial" w:cs="Arial"/>
          <w:sz w:val="18"/>
          <w:szCs w:val="18"/>
        </w:rPr>
        <w:t>di non essere a conoscenza di essere sottoposto a procedimenti penali</w:t>
      </w:r>
    </w:p>
    <w:p w:rsidR="00E444B3" w:rsidRPr="00566573" w:rsidRDefault="00E444B3" w:rsidP="00E444B3">
      <w:pPr>
        <w:pStyle w:val="Default"/>
        <w:rPr>
          <w:rFonts w:ascii="Arial" w:hAnsi="Arial" w:cs="Arial"/>
          <w:sz w:val="18"/>
          <w:szCs w:val="18"/>
        </w:rPr>
      </w:pPr>
    </w:p>
    <w:p w:rsidR="00E444B3" w:rsidRPr="00566573" w:rsidRDefault="00E444B3" w:rsidP="00E444B3">
      <w:pPr>
        <w:rPr>
          <w:rFonts w:ascii="Arial" w:hAnsi="Arial" w:cs="Arial"/>
          <w:sz w:val="18"/>
          <w:szCs w:val="18"/>
          <w:lang w:val="en-US"/>
        </w:rPr>
      </w:pPr>
      <w:r w:rsidRPr="00566573">
        <w:rPr>
          <w:rFonts w:ascii="Arial" w:hAnsi="Arial" w:cs="Arial"/>
          <w:sz w:val="18"/>
          <w:szCs w:val="18"/>
        </w:rPr>
        <w:t>Data, ___________________</w:t>
      </w:r>
      <w:r w:rsidR="000F1B7E" w:rsidRPr="00566573">
        <w:rPr>
          <w:rFonts w:ascii="Arial" w:hAnsi="Arial" w:cs="Arial"/>
          <w:sz w:val="18"/>
          <w:szCs w:val="18"/>
        </w:rPr>
        <w:t>____</w:t>
      </w:r>
      <w:r w:rsidR="000F1B7E" w:rsidRPr="00566573">
        <w:rPr>
          <w:rFonts w:ascii="Arial" w:hAnsi="Arial" w:cs="Arial"/>
          <w:sz w:val="18"/>
          <w:szCs w:val="18"/>
        </w:rPr>
        <w:tab/>
      </w:r>
      <w:r w:rsidR="00566573">
        <w:rPr>
          <w:rFonts w:ascii="Arial" w:hAnsi="Arial" w:cs="Arial"/>
          <w:sz w:val="18"/>
          <w:szCs w:val="18"/>
        </w:rPr>
        <w:tab/>
      </w:r>
      <w:r w:rsidR="00566573">
        <w:rPr>
          <w:rFonts w:ascii="Arial" w:hAnsi="Arial" w:cs="Arial"/>
          <w:sz w:val="18"/>
          <w:szCs w:val="18"/>
        </w:rPr>
        <w:tab/>
      </w:r>
      <w:r w:rsidR="00566573">
        <w:rPr>
          <w:rFonts w:ascii="Arial" w:hAnsi="Arial" w:cs="Arial"/>
          <w:sz w:val="18"/>
          <w:szCs w:val="18"/>
        </w:rPr>
        <w:tab/>
      </w:r>
      <w:r w:rsidR="000F1B7E" w:rsidRPr="00566573">
        <w:rPr>
          <w:rFonts w:ascii="Arial" w:hAnsi="Arial" w:cs="Arial"/>
          <w:sz w:val="18"/>
          <w:szCs w:val="18"/>
        </w:rPr>
        <w:t xml:space="preserve"> </w:t>
      </w:r>
      <w:r w:rsidRPr="00566573">
        <w:rPr>
          <w:rFonts w:ascii="Arial" w:hAnsi="Arial" w:cs="Arial"/>
          <w:sz w:val="18"/>
          <w:szCs w:val="18"/>
        </w:rPr>
        <w:t>Il dichiarante _____________________________</w:t>
      </w:r>
    </w:p>
    <w:sectPr w:rsidR="00E444B3" w:rsidRPr="00566573" w:rsidSect="00E444B3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E15" w:rsidRDefault="00AF7E15" w:rsidP="00AF7E15">
      <w:r>
        <w:separator/>
      </w:r>
    </w:p>
  </w:endnote>
  <w:endnote w:type="continuationSeparator" w:id="0">
    <w:p w:rsidR="00AF7E15" w:rsidRDefault="00AF7E15" w:rsidP="00AF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E15" w:rsidRDefault="00AF7E15" w:rsidP="00AF7E15">
      <w:r>
        <w:separator/>
      </w:r>
    </w:p>
  </w:footnote>
  <w:footnote w:type="continuationSeparator" w:id="0">
    <w:p w:rsidR="00AF7E15" w:rsidRDefault="00AF7E15" w:rsidP="00AF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5" w:rsidRDefault="00AF7E15">
    <w:pPr>
      <w:pStyle w:val="Intestazione"/>
    </w:pPr>
    <w:r>
      <w:rPr>
        <w:noProof/>
      </w:rPr>
      <w:drawing>
        <wp:inline distT="0" distB="0" distL="0" distR="0" wp14:anchorId="25FD8C16">
          <wp:extent cx="6120765" cy="185356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85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4F2B"/>
    <w:multiLevelType w:val="hybridMultilevel"/>
    <w:tmpl w:val="99083DBC"/>
    <w:lvl w:ilvl="0" w:tplc="43C08952">
      <w:start w:val="12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B3"/>
    <w:rsid w:val="000F1B7E"/>
    <w:rsid w:val="001E3A9B"/>
    <w:rsid w:val="00264EE3"/>
    <w:rsid w:val="003C76D6"/>
    <w:rsid w:val="00504E9D"/>
    <w:rsid w:val="00566573"/>
    <w:rsid w:val="006933DE"/>
    <w:rsid w:val="00815260"/>
    <w:rsid w:val="009E6DCA"/>
    <w:rsid w:val="00AF7E15"/>
    <w:rsid w:val="00D04E1D"/>
    <w:rsid w:val="00E444B3"/>
    <w:rsid w:val="00EC7795"/>
    <w:rsid w:val="00F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3E9B8E6-FCED-496E-B3EB-1EC105F4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4B3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4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7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E15"/>
    <w:rPr>
      <w:rFonts w:ascii="Trebuchet MS" w:eastAsia="Times New Roman" w:hAnsi="Trebuchet MS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7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E15"/>
    <w:rPr>
      <w:rFonts w:ascii="Trebuchet MS" w:eastAsia="Times New Roman" w:hAnsi="Trebuchet MS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CCF9-55BE-4871-9C2E-3B1AD0E6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</dc:creator>
  <cp:keywords/>
  <dc:description/>
  <cp:lastModifiedBy>Contabilità1</cp:lastModifiedBy>
  <cp:revision>3</cp:revision>
  <dcterms:created xsi:type="dcterms:W3CDTF">2025-10-06T08:39:00Z</dcterms:created>
  <dcterms:modified xsi:type="dcterms:W3CDTF">2025-10-06T08:42:00Z</dcterms:modified>
</cp:coreProperties>
</file>